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CB" w:rsidRPr="00ED32E4" w:rsidRDefault="003F4DCB" w:rsidP="003F4DCB">
      <w:pPr>
        <w:rPr>
          <w:rFonts w:asciiTheme="minorBidi" w:hAnsiTheme="minorBidi"/>
          <w:sz w:val="24"/>
          <w:szCs w:val="24"/>
          <w:rtl/>
        </w:rPr>
      </w:pPr>
    </w:p>
    <w:p w:rsidR="003F4DCB" w:rsidRPr="00ED32E4" w:rsidRDefault="003F4DCB" w:rsidP="003F4DCB">
      <w:pPr>
        <w:rPr>
          <w:rFonts w:asciiTheme="minorBidi" w:hAnsiTheme="minorBidi"/>
          <w:sz w:val="24"/>
          <w:szCs w:val="24"/>
          <w:rtl/>
        </w:rPr>
      </w:pPr>
    </w:p>
    <w:p w:rsidR="00C06EA1" w:rsidRPr="00C06EA1" w:rsidRDefault="00C06EA1" w:rsidP="00C06EA1">
      <w:pPr>
        <w:jc w:val="center"/>
        <w:rPr>
          <w:rFonts w:asciiTheme="minorBidi" w:eastAsia="Times New Roman" w:hAnsiTheme="minorBidi"/>
          <w:sz w:val="24"/>
          <w:szCs w:val="24"/>
        </w:rPr>
      </w:pPr>
      <w:r w:rsidRPr="00C06EA1">
        <w:rPr>
          <w:rFonts w:asciiTheme="minorBidi" w:eastAsia="Times New Roman" w:hAnsiTheme="minorBidi"/>
          <w:b/>
          <w:bCs/>
          <w:sz w:val="24"/>
          <w:szCs w:val="24"/>
          <w:rtl/>
        </w:rPr>
        <w:t>اولويتهاي پژوهشي دانشگاه علوم پزشکي تبريز</w:t>
      </w:r>
      <w:r w:rsidRPr="00C06EA1">
        <w:rPr>
          <w:rFonts w:asciiTheme="minorBidi" w:eastAsia="Times New Roman" w:hAnsiTheme="minorBidi"/>
          <w:b/>
          <w:bCs/>
          <w:sz w:val="24"/>
          <w:szCs w:val="24"/>
        </w:rPr>
        <w:t xml:space="preserve">:1393 </w:t>
      </w:r>
      <w:r w:rsidRPr="00C06EA1">
        <w:rPr>
          <w:rFonts w:asciiTheme="minorBidi" w:eastAsia="Times New Roman" w:hAnsiTheme="minorBidi"/>
          <w:b/>
          <w:bCs/>
          <w:sz w:val="24"/>
          <w:szCs w:val="24"/>
          <w:rtl/>
        </w:rPr>
        <w:t>تا 1398</w:t>
      </w:r>
    </w:p>
    <w:p w:rsidR="00C06EA1" w:rsidRPr="00C06EA1" w:rsidRDefault="00C06EA1" w:rsidP="00C06EA1">
      <w:pPr>
        <w:bidi/>
        <w:spacing w:before="100" w:beforeAutospacing="1" w:after="100" w:afterAutospacing="1" w:line="276" w:lineRule="auto"/>
        <w:jc w:val="center"/>
        <w:rPr>
          <w:rFonts w:asciiTheme="minorBidi" w:eastAsia="Times New Roman" w:hAnsiTheme="minorBidi"/>
          <w:sz w:val="24"/>
          <w:szCs w:val="24"/>
        </w:rPr>
      </w:pPr>
      <w:r w:rsidRPr="00C06EA1">
        <w:rPr>
          <w:rFonts w:asciiTheme="minorBidi" w:eastAsia="Times New Roman" w:hAnsiTheme="minorBidi"/>
          <w:b/>
          <w:bCs/>
          <w:sz w:val="24"/>
          <w:szCs w:val="24"/>
        </w:rPr>
        <w:t>Research priorities in Tabriz University of Medical Sciences:    2014 -2019</w:t>
      </w:r>
      <w:r w:rsidRPr="00C06EA1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</w:t>
      </w:r>
    </w:p>
    <w:p w:rsidR="00C06EA1" w:rsidRPr="00C06EA1" w:rsidRDefault="00C06EA1" w:rsidP="00C06EA1">
      <w:pPr>
        <w:bidi/>
        <w:spacing w:before="100" w:beforeAutospacing="1" w:after="100" w:afterAutospacing="1" w:line="276" w:lineRule="auto"/>
        <w:rPr>
          <w:rFonts w:asciiTheme="minorBidi" w:eastAsia="Times New Roman" w:hAnsiTheme="minorBidi" w:hint="cs"/>
          <w:sz w:val="24"/>
          <w:szCs w:val="24"/>
          <w:rtl/>
        </w:rPr>
      </w:pPr>
      <w:r w:rsidRPr="00C06EA1">
        <w:rPr>
          <w:rFonts w:asciiTheme="minorBidi" w:eastAsia="Times New Roman" w:hAnsiTheme="minorBidi"/>
          <w:b/>
          <w:bCs/>
          <w:sz w:val="24"/>
          <w:szCs w:val="24"/>
          <w:rtl/>
        </w:rPr>
        <w:t> </w:t>
      </w:r>
    </w:p>
    <w:p w:rsidR="00C06EA1" w:rsidRPr="00C06EA1" w:rsidRDefault="00C06EA1" w:rsidP="00C06EA1">
      <w:pPr>
        <w:bidi/>
        <w:spacing w:before="100" w:beforeAutospacing="1" w:after="100" w:afterAutospacing="1" w:line="276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bookmarkStart w:id="0" w:name="_Toc63696516"/>
      <w:r w:rsidRPr="00C06EA1">
        <w:rPr>
          <w:rFonts w:asciiTheme="minorBidi" w:eastAsia="Times New Roman" w:hAnsiTheme="minorBidi"/>
          <w:b/>
          <w:bCs/>
          <w:sz w:val="24"/>
          <w:szCs w:val="24"/>
        </w:rPr>
        <w:t> </w:t>
      </w:r>
      <w:bookmarkEnd w:id="0"/>
    </w:p>
    <w:p w:rsidR="00C06EA1" w:rsidRPr="00C06EA1" w:rsidRDefault="00C06EA1" w:rsidP="00C06EA1">
      <w:pPr>
        <w:bidi/>
        <w:spacing w:before="100" w:beforeAutospacing="1" w:after="100" w:afterAutospacing="1" w:line="276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b/>
          <w:bCs/>
          <w:sz w:val="24"/>
          <w:szCs w:val="24"/>
          <w:rtl/>
        </w:rPr>
        <w:t>الف- بهداشت، پيشگيري و شيوه زندگي: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b/>
          <w:bCs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برنامه پزشك خانواده و سطح بندی خدمات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تعيين کننده های اجتماعي موثر بر سلامت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>اصلاح شيوه ز</w:t>
      </w:r>
      <w:bookmarkStart w:id="1" w:name="_GoBack"/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ندگي </w:t>
      </w:r>
      <w:bookmarkEnd w:id="1"/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كيفيت زندگي مبتلايان در بیماریهای شايع استان (بیماریهای قلبی-عروقی، سرطانی، تنفسی، عصبی روانی، ادراری تناسلی، گوارشی، ترافیکی، تغذیه ای متابولیک و حول تولد)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شناسایی وکنترل عوامل خطر شایع در بیماریهای قلبی و عروقی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پیشگیری از رفتارهای پرخطر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پوسيدگيهاي دنداني و تعيين اندکس دندانهای پوسیده، کشیده شده و پر شده ( </w:t>
      </w:r>
      <w:r w:rsidRPr="00C06EA1">
        <w:rPr>
          <w:rFonts w:asciiTheme="minorBidi" w:eastAsia="Times New Roman" w:hAnsiTheme="minorBidi"/>
          <w:sz w:val="24"/>
          <w:szCs w:val="24"/>
        </w:rPr>
        <w:t>(DMFT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در كودكان زير 12 سال،  بررسي كارآيي روش هاي پيشگيري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مراقبت مادران و حاملگی های پرخطر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بهداشت نوجوانان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سلامت جنسی نوجوانان و جوانان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سلامت سالمندان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عادات و الگوهاي غذايي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چاقی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 </w:t>
      </w: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بهداشت حرفه ای و طب کار (ارگونومي، حوادث شغلي، آلاينده هاي محيط كار و استرس شغلي و...) 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 </w:t>
      </w: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آلودگی هوا و آلاینده های زیست محیطی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 </w:t>
      </w: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كيفيت آب و تصفيه آب و فاضلاب </w:t>
      </w:r>
    </w:p>
    <w:p w:rsidR="00C06EA1" w:rsidRPr="00C06EA1" w:rsidRDefault="00C06EA1" w:rsidP="00C06EA1">
      <w:pPr>
        <w:numPr>
          <w:ilvl w:val="0"/>
          <w:numId w:val="1"/>
        </w:numPr>
        <w:bidi/>
        <w:spacing w:before="100" w:beforeAutospacing="1" w:after="100" w:afterAutospacing="1" w:line="276" w:lineRule="auto"/>
        <w:ind w:left="1440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ارتقاي ميزان بهره مندي جامعه از خدمات دندانپزشكي </w:t>
      </w:r>
    </w:p>
    <w:p w:rsidR="00C06EA1" w:rsidRPr="00C06EA1" w:rsidRDefault="00C06EA1" w:rsidP="00C06EA1">
      <w:pPr>
        <w:bidi/>
        <w:spacing w:before="100" w:beforeAutospacing="1" w:after="100" w:afterAutospacing="1" w:line="276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> </w:t>
      </w:r>
    </w:p>
    <w:p w:rsidR="00C06EA1" w:rsidRPr="00C06EA1" w:rsidRDefault="00C06EA1" w:rsidP="00C06EA1">
      <w:pPr>
        <w:bidi/>
        <w:spacing w:before="100" w:beforeAutospacing="1" w:after="100" w:afterAutospacing="1" w:line="276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ب- تحقيقات باليني: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b/>
          <w:bCs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اختلالات رشد، تکامل و تغذیه كودكان و نوزادان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اختلالات و ناهنجاريهاي  مادرزادي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آسم و بيماريهاي آلرژيك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اختلالات تشنجي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بیماریهای متابولیک شایع (دیابت، مقاومت انسولینی، کبد چرب و...)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بدخيمي هاي شایع استان (معده، کولورکتال، مری، پوست، ریه، پستان، تخمدان، مثانه، پروستات، خون، مغز)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بیماریهای ریوی محدود کننده و انسدادی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lastRenderedPageBreak/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هپاتیتهای  </w:t>
      </w:r>
      <w:r w:rsidRPr="00C06EA1">
        <w:rPr>
          <w:rFonts w:asciiTheme="minorBidi" w:eastAsia="Times New Roman" w:hAnsiTheme="minorBidi"/>
          <w:sz w:val="24"/>
          <w:szCs w:val="24"/>
        </w:rPr>
        <w:t>B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و </w:t>
      </w:r>
      <w:r w:rsidRPr="00C06EA1">
        <w:rPr>
          <w:rFonts w:asciiTheme="minorBidi" w:eastAsia="Times New Roman" w:hAnsiTheme="minorBidi"/>
          <w:sz w:val="24"/>
          <w:szCs w:val="24"/>
        </w:rPr>
        <w:t>C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بیماریهای التهابی شایع براساس بار بیماریها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كمردرد، دیسکهای گردنی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استروک (سکته مغزی)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بيماري مولتیپل اسکلروزیس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سردرد (با توجه بيشتر بر سردردهاي مزمن و ميگرن)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توانبخشي در بيماريهاي قلبي عروقی و اختلالات دستگاه اسكلتي،  عضلاني و عصبي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بیماری دژنراتیو مفاصل (</w:t>
      </w:r>
      <w:r w:rsidRPr="00C06EA1">
        <w:rPr>
          <w:rFonts w:asciiTheme="minorBidi" w:eastAsia="Times New Roman" w:hAnsiTheme="minorBidi"/>
          <w:sz w:val="24"/>
          <w:szCs w:val="24"/>
        </w:rPr>
        <w:t>DJD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)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نابینایی (علل، پیشگیری)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عفونتهاي دستگاه تنفسی فوقانی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 </w:t>
      </w: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نازایی و روشهای نوین تولید مثل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ایدز و بیماریهای آمیزشی (</w:t>
      </w:r>
      <w:r w:rsidRPr="00C06EA1">
        <w:rPr>
          <w:rFonts w:asciiTheme="minorBidi" w:eastAsia="Times New Roman" w:hAnsiTheme="minorBidi"/>
          <w:sz w:val="24"/>
          <w:szCs w:val="24"/>
        </w:rPr>
        <w:t>STD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)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بیماریهای ایسکمیک قلبی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پیشگیری، کنترل و درمان بيماريهاي انگلي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مسمومیت های دارویی و غذایی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تروماها و حوادث جاده ای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بهداشت روان و روانپزشکی جامعه نگر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اعتياد و سندرم محروميت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تجویز منطقی داروها به ویژه آنتی بیوتیکها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اقدامات پيش بيمارستاني و مديريت اورژانس ها و ترياژ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مراقبت در منزل (</w:t>
      </w:r>
      <w:r w:rsidRPr="00C06EA1">
        <w:rPr>
          <w:rFonts w:asciiTheme="minorBidi" w:eastAsia="Times New Roman" w:hAnsiTheme="minorBidi"/>
          <w:sz w:val="24"/>
          <w:szCs w:val="24"/>
        </w:rPr>
        <w:t>Home Care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)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احيای قلبی ریوی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پزشكي مبتني بر شواهد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عفونتهاي بيمارستاني و مقاومتهاي ميكروبي </w:t>
      </w:r>
    </w:p>
    <w:p w:rsidR="00C06EA1" w:rsidRPr="00C06EA1" w:rsidRDefault="00C06EA1" w:rsidP="00C06EA1">
      <w:pPr>
        <w:numPr>
          <w:ilvl w:val="0"/>
          <w:numId w:val="2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 شيوع و عوامل خطر بيماريهاي پريودنتال و تعيين رابطه اين بيماري ها با سلامت عمومي </w:t>
      </w:r>
    </w:p>
    <w:p w:rsidR="00C06EA1" w:rsidRPr="00C06EA1" w:rsidRDefault="00C06EA1" w:rsidP="00C06EA1">
      <w:pPr>
        <w:bidi/>
        <w:spacing w:before="100" w:beforeAutospacing="1" w:after="100" w:afterAutospacing="1" w:line="276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> </w:t>
      </w:r>
    </w:p>
    <w:p w:rsidR="00C06EA1" w:rsidRPr="00C06EA1" w:rsidRDefault="00C06EA1" w:rsidP="00C06EA1">
      <w:pPr>
        <w:bidi/>
        <w:spacing w:before="100" w:beforeAutospacing="1" w:after="100" w:afterAutospacing="1" w:line="276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ج – تحقيقات علوم پايه: </w:t>
      </w:r>
    </w:p>
    <w:p w:rsidR="00C06EA1" w:rsidRPr="00C06EA1" w:rsidRDefault="00C06EA1" w:rsidP="00C06EA1">
      <w:pPr>
        <w:numPr>
          <w:ilvl w:val="0"/>
          <w:numId w:val="3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b/>
          <w:bCs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بررسي اپيدميولوژي بیماریهای شایع بر اساس بار بیماریها  </w:t>
      </w:r>
    </w:p>
    <w:p w:rsidR="00C06EA1" w:rsidRPr="00C06EA1" w:rsidRDefault="00C06EA1" w:rsidP="00C06EA1">
      <w:pPr>
        <w:numPr>
          <w:ilvl w:val="0"/>
          <w:numId w:val="3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اصلاحات در نظام سلامت </w:t>
      </w:r>
    </w:p>
    <w:p w:rsidR="00C06EA1" w:rsidRPr="00C06EA1" w:rsidRDefault="00C06EA1" w:rsidP="00C06EA1">
      <w:pPr>
        <w:numPr>
          <w:ilvl w:val="0"/>
          <w:numId w:val="3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مديريت سلامت در بلایا </w:t>
      </w:r>
    </w:p>
    <w:p w:rsidR="00C06EA1" w:rsidRPr="00C06EA1" w:rsidRDefault="00C06EA1" w:rsidP="00C06EA1">
      <w:pPr>
        <w:numPr>
          <w:ilvl w:val="0"/>
          <w:numId w:val="3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>مطالعات سیستم اطلاعات جغرافیایی (</w:t>
      </w:r>
      <w:r w:rsidRPr="00C06EA1">
        <w:rPr>
          <w:rFonts w:asciiTheme="minorBidi" w:eastAsia="Times New Roman" w:hAnsiTheme="minorBidi"/>
          <w:sz w:val="24"/>
          <w:szCs w:val="24"/>
        </w:rPr>
        <w:t>GIS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) بیماریهای شایع استان </w:t>
      </w:r>
    </w:p>
    <w:p w:rsidR="00C06EA1" w:rsidRPr="00C06EA1" w:rsidRDefault="00C06EA1" w:rsidP="00C06EA1">
      <w:pPr>
        <w:numPr>
          <w:ilvl w:val="0"/>
          <w:numId w:val="3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اقتصاد سلامت (بيمه، هزينه اثر بخشي و هزينه فايده و ....) </w:t>
      </w:r>
    </w:p>
    <w:p w:rsidR="00C06EA1" w:rsidRPr="00C06EA1" w:rsidRDefault="00C06EA1" w:rsidP="00C06EA1">
      <w:pPr>
        <w:numPr>
          <w:ilvl w:val="0"/>
          <w:numId w:val="3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مديريت اطلاعات سلامت و پرونده الكترونيكي </w:t>
      </w:r>
    </w:p>
    <w:p w:rsidR="00C06EA1" w:rsidRPr="00C06EA1" w:rsidRDefault="00C06EA1" w:rsidP="00C06EA1">
      <w:pPr>
        <w:numPr>
          <w:ilvl w:val="0"/>
          <w:numId w:val="3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عدالت در نظام سلامت (دسترسی، برابری) </w:t>
      </w:r>
    </w:p>
    <w:p w:rsidR="00C06EA1" w:rsidRPr="00C06EA1" w:rsidRDefault="00C06EA1" w:rsidP="00C06EA1">
      <w:pPr>
        <w:numPr>
          <w:ilvl w:val="0"/>
          <w:numId w:val="3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ارزشيابي، اعتبار سنجی و اعتبار بخشی در نظام سلامت (بهداشت، درمان و آموزش) </w:t>
      </w:r>
    </w:p>
    <w:p w:rsidR="00C06EA1" w:rsidRPr="00C06EA1" w:rsidRDefault="00C06EA1" w:rsidP="00C06EA1">
      <w:pPr>
        <w:numPr>
          <w:ilvl w:val="0"/>
          <w:numId w:val="3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نظام پرداخت در خدمات سلامت </w:t>
      </w:r>
    </w:p>
    <w:p w:rsidR="00C06EA1" w:rsidRPr="00C06EA1" w:rsidRDefault="00C06EA1" w:rsidP="00C06EA1">
      <w:pPr>
        <w:numPr>
          <w:ilvl w:val="0"/>
          <w:numId w:val="3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b/>
          <w:bCs/>
          <w:sz w:val="24"/>
          <w:szCs w:val="24"/>
          <w:rtl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Pr="00C06EA1">
        <w:rPr>
          <w:rFonts w:asciiTheme="minorBidi" w:eastAsia="Times New Roman" w:hAnsiTheme="minorBidi"/>
          <w:b/>
          <w:bCs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تعرفه گذاری در نظام سلامت </w:t>
      </w:r>
    </w:p>
    <w:p w:rsidR="00C06EA1" w:rsidRPr="00C06EA1" w:rsidRDefault="00C06EA1" w:rsidP="00C06EA1">
      <w:pPr>
        <w:numPr>
          <w:ilvl w:val="0"/>
          <w:numId w:val="3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حاكميت باليني درارتقاي كيفيت خدمات سلامت (مشارکت بیمار و جامعه، آموزش وتعمیم، اثر بخشی بالینی، ممیزی بالینی، مدیریت خطر، کارکنان و مدیریت کارکنان، استفاده از اطلاعات) </w:t>
      </w:r>
    </w:p>
    <w:p w:rsidR="00C06EA1" w:rsidRPr="00C06EA1" w:rsidRDefault="00C06EA1" w:rsidP="00C06EA1">
      <w:pPr>
        <w:numPr>
          <w:ilvl w:val="0"/>
          <w:numId w:val="3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بقايا و آثار سموم، کودها و داروها بر سلامت مواد غذايي مختلف </w:t>
      </w:r>
    </w:p>
    <w:p w:rsidR="00C06EA1" w:rsidRPr="00C06EA1" w:rsidRDefault="00C06EA1" w:rsidP="00C06EA1">
      <w:pPr>
        <w:numPr>
          <w:ilvl w:val="0"/>
          <w:numId w:val="3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روشها و ابزار نوين در توانبخشي </w:t>
      </w:r>
    </w:p>
    <w:p w:rsidR="00C06EA1" w:rsidRPr="00C06EA1" w:rsidRDefault="00C06EA1" w:rsidP="00C06EA1">
      <w:pPr>
        <w:numPr>
          <w:ilvl w:val="0"/>
          <w:numId w:val="3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lastRenderedPageBreak/>
        <w:t xml:space="preserve"> روشهاي نوين و بهينه سازي فرآيندهاي تصويرنگاري و پرتو درماني </w:t>
      </w:r>
    </w:p>
    <w:p w:rsidR="00C06EA1" w:rsidRPr="00C06EA1" w:rsidRDefault="00C06EA1" w:rsidP="00C06EA1">
      <w:pPr>
        <w:numPr>
          <w:ilvl w:val="0"/>
          <w:numId w:val="4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روشهای نوین آزمایشگاهی در تشخیص زودرس در بیماریهای شایع استان (بیماریهای قلبی-عروقی، سرطانی، تنفسی، عصبی روانی، ادراری تناسلی، گوارشی، ترافیکی، تغذیه ای متابولیک و حول تولد) </w:t>
      </w:r>
    </w:p>
    <w:p w:rsidR="00C06EA1" w:rsidRPr="00C06EA1" w:rsidRDefault="00C06EA1" w:rsidP="00C06EA1">
      <w:pPr>
        <w:numPr>
          <w:ilvl w:val="0"/>
          <w:numId w:val="5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آناليز و غربالگري گياهان داروئي ايران در بيماريهاي قلبي و عروقي، التهابي، سرطاني، نورو دژنراتيو، متابوليك و عفوني </w:t>
      </w:r>
    </w:p>
    <w:p w:rsidR="00C06EA1" w:rsidRPr="00C06EA1" w:rsidRDefault="00C06EA1" w:rsidP="00C06EA1">
      <w:pPr>
        <w:numPr>
          <w:ilvl w:val="0"/>
          <w:numId w:val="5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توسعه و بومي سازي دانش و فن آوري توليد فراورده ها و تركيبات دارويي </w:t>
      </w:r>
    </w:p>
    <w:p w:rsidR="00C06EA1" w:rsidRPr="00C06EA1" w:rsidRDefault="00C06EA1" w:rsidP="00C06EA1">
      <w:pPr>
        <w:numPr>
          <w:ilvl w:val="0"/>
          <w:numId w:val="5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دارورساني تركيبات شيميايي، بيولوژيك و طبيعي در بيماريهاي قلبي و عروقي، التهابي، سرطاني، نورو دژنراتيو، متابوليك و عفوني </w:t>
      </w:r>
    </w:p>
    <w:p w:rsidR="00C06EA1" w:rsidRPr="00C06EA1" w:rsidRDefault="00C06EA1" w:rsidP="00C06EA1">
      <w:pPr>
        <w:numPr>
          <w:ilvl w:val="0"/>
          <w:numId w:val="5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 </w:t>
      </w: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هدف درمانی مبتنی بر نانوداروهای هوشمند </w:t>
      </w:r>
    </w:p>
    <w:p w:rsidR="00C06EA1" w:rsidRPr="00C06EA1" w:rsidRDefault="00C06EA1" w:rsidP="00C06EA1">
      <w:pPr>
        <w:numPr>
          <w:ilvl w:val="0"/>
          <w:numId w:val="5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مطالعات  فارماکولوژيك و بالینی داروهاي مورداستفاده در بيماريهاي قلبي و عروقي، التهابي، سرطاني، نورو دژنراتيو، متابوليك و عفوني </w:t>
      </w:r>
    </w:p>
    <w:p w:rsidR="00C06EA1" w:rsidRPr="00C06EA1" w:rsidRDefault="00C06EA1" w:rsidP="00C06EA1">
      <w:pPr>
        <w:numPr>
          <w:ilvl w:val="0"/>
          <w:numId w:val="6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طراحي، تولید و مطالعات سلولي مولكولي تركيبات بيولوژيك مورد استفاده در بيماريهاي شایع استان (بیماریهای قلبی-عروقی، سرطانی، تنفسی، عصبی روانی، ادراری تناسلی، گوارشی، ترافیکی، تغذیه ای متابولیک و حول تولد)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 بهينه سازي تجويز و مصرف دارو در بيمارستان و جامعه در بيماريهاي قلبي و عروقي، التهابي، سرطاني، نورو دژنراتيو، متابوليك و عفوني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 </w:t>
      </w:r>
      <w:r w:rsidRPr="00C06EA1">
        <w:rPr>
          <w:rFonts w:asciiTheme="minorBidi" w:eastAsia="Times New Roman" w:hAnsiTheme="minorBidi"/>
          <w:sz w:val="24"/>
          <w:szCs w:val="24"/>
        </w:rPr>
        <w:t> 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پژوهشهاي کاربردي در زمينه روشهاي آناليز داروهاي جديد غذا و فرآورده هاي آرايشي و بهداشتي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طراحي، سنتز، آناليز و كنترل داروها  در بيماريهاي قلبي و عروقي، التهابي، سرطاني، نورو دژنراتيو، متابوليك و عفوني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مهندسی پزشکی و تجهیزات پزشکی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كنترل كيفيت و ایمنی مواد غذایی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> غذاهاي فراسودمند (</w:t>
      </w:r>
      <w:r w:rsidRPr="00C06EA1">
        <w:rPr>
          <w:rFonts w:asciiTheme="minorBidi" w:eastAsia="Times New Roman" w:hAnsiTheme="minorBidi"/>
          <w:sz w:val="24"/>
          <w:szCs w:val="24"/>
        </w:rPr>
        <w:t>Functional Food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)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غذاهاي رژيمي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تغذيه بيمارستاني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تغذيه در بيماريهاي مزمن و غير واگير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مقاومتهاي داروئي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تولید واکسن، فراورده های بیولوژیکی و آنتي باديهاي مونوكلونال و پلي كلونال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تحقیقات </w:t>
      </w:r>
      <w:r w:rsidRPr="00C06EA1">
        <w:rPr>
          <w:rFonts w:asciiTheme="minorBidi" w:eastAsia="Times New Roman" w:hAnsiTheme="minorBidi"/>
          <w:sz w:val="24"/>
          <w:szCs w:val="24"/>
        </w:rPr>
        <w:t>Stem Cell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> عفونتهاي نوپدید و بازپدید (</w:t>
      </w:r>
      <w:r w:rsidRPr="00C06EA1">
        <w:rPr>
          <w:rFonts w:asciiTheme="minorBidi" w:eastAsia="Times New Roman" w:hAnsiTheme="minorBidi"/>
          <w:sz w:val="24"/>
          <w:szCs w:val="24"/>
        </w:rPr>
        <w:t>Emerging and Re-emerging</w:t>
      </w: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 )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ایمونوتراپی بیماریهاي شايع با استفاده از ژن درمانی و تقویت سیستم ایمنی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اخلاق حرفه ای،  اخلاق در آموزش و پژوهش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ارتقای کیفیت روشها و فنون تدریس و ارزیابی دانشجویان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ارتقای کیفیت ارزشیابی اساتید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 xml:space="preserve"> ارزشیابی و بازنگری برنامه های آموزشی (کوریکولوم آموزشی ) </w:t>
      </w:r>
    </w:p>
    <w:p w:rsidR="00C06EA1" w:rsidRPr="00C06EA1" w:rsidRDefault="00C06EA1" w:rsidP="00C06EA1">
      <w:pPr>
        <w:numPr>
          <w:ilvl w:val="0"/>
          <w:numId w:val="7"/>
        </w:numPr>
        <w:bidi/>
        <w:spacing w:before="100" w:beforeAutospacing="1" w:after="100" w:afterAutospacing="1" w:line="276" w:lineRule="auto"/>
        <w:ind w:left="1440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C06EA1">
        <w:rPr>
          <w:rFonts w:asciiTheme="minorBidi" w:eastAsia="Times New Roman" w:hAnsiTheme="minorBidi"/>
          <w:sz w:val="24"/>
          <w:szCs w:val="24"/>
          <w:rtl/>
        </w:rPr>
        <w:t> ارتقای سطح مهارتهاي ارتباطي بين استاد، دانشجو و توانمندی اساتید</w:t>
      </w:r>
    </w:p>
    <w:p w:rsidR="00C06EA1" w:rsidRPr="00ED32E4" w:rsidRDefault="00C06EA1" w:rsidP="00C06EA1">
      <w:pPr>
        <w:bidi/>
        <w:rPr>
          <w:rFonts w:asciiTheme="minorBidi" w:hAnsiTheme="minorBidi"/>
          <w:b/>
          <w:bCs/>
          <w:sz w:val="24"/>
          <w:szCs w:val="24"/>
        </w:rPr>
      </w:pPr>
    </w:p>
    <w:p w:rsidR="006910FA" w:rsidRPr="00ED32E4" w:rsidRDefault="006910FA" w:rsidP="003F4DCB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sectPr w:rsidR="006910FA" w:rsidRPr="00ED32E4" w:rsidSect="00A622A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41769"/>
    <w:multiLevelType w:val="multilevel"/>
    <w:tmpl w:val="A6A2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F6CBE"/>
    <w:multiLevelType w:val="multilevel"/>
    <w:tmpl w:val="277C2FF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D3DE9"/>
    <w:multiLevelType w:val="multilevel"/>
    <w:tmpl w:val="A670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40653D"/>
    <w:multiLevelType w:val="multilevel"/>
    <w:tmpl w:val="6480EE3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9607D5"/>
    <w:multiLevelType w:val="multilevel"/>
    <w:tmpl w:val="743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B7738"/>
    <w:multiLevelType w:val="multilevel"/>
    <w:tmpl w:val="D85264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C187D"/>
    <w:multiLevelType w:val="multilevel"/>
    <w:tmpl w:val="68002BA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Q06OUX0k1Oy/gKJuzXgobIlGMY=" w:salt="FBnIN06+KuOMyREg5t7sT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CB"/>
    <w:rsid w:val="003F4DCB"/>
    <w:rsid w:val="006910FA"/>
    <w:rsid w:val="00A622A5"/>
    <w:rsid w:val="00C06EA1"/>
    <w:rsid w:val="00ED32E4"/>
    <w:rsid w:val="00F5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E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E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739</Words>
  <Characters>4214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NSRC-Babak</dc:creator>
  <cp:keywords/>
  <dc:description/>
  <cp:lastModifiedBy>NSRC-Babak</cp:lastModifiedBy>
  <cp:revision>1</cp:revision>
  <dcterms:created xsi:type="dcterms:W3CDTF">2015-01-03T20:49:00Z</dcterms:created>
  <dcterms:modified xsi:type="dcterms:W3CDTF">2015-01-03T21:03:00Z</dcterms:modified>
</cp:coreProperties>
</file>